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4ED60" w14:textId="77777777" w:rsidR="00E8009D" w:rsidRDefault="00E8009D" w:rsidP="00E8009D">
      <w:pPr>
        <w:pStyle w:val="NoSpacing"/>
        <w:rPr>
          <w:rFonts w:hAnsi="Symbol"/>
        </w:rPr>
      </w:pPr>
      <w:r>
        <w:rPr>
          <w:rFonts w:hAnsi="Symbol"/>
        </w:rPr>
        <w:t>AAC WESTKING CWRS</w:t>
      </w:r>
    </w:p>
    <w:p w14:paraId="7293594F" w14:textId="77777777" w:rsidR="00E8009D" w:rsidRDefault="00E8009D" w:rsidP="00E8009D">
      <w:pPr>
        <w:pStyle w:val="NoSpacing"/>
        <w:rPr>
          <w:rFonts w:hAnsi="Symbol"/>
        </w:rPr>
      </w:pPr>
    </w:p>
    <w:p w14:paraId="19D618F3" w14:textId="77777777" w:rsidR="00E8009D" w:rsidRDefault="00E8009D" w:rsidP="00E8009D">
      <w:pPr>
        <w:pStyle w:val="NoSpacing"/>
        <w:rPr>
          <w:rFonts w:hAnsi="Symbol"/>
        </w:rPr>
      </w:pPr>
      <w:r>
        <w:rPr>
          <w:rFonts w:hAnsi="Symbol"/>
        </w:rPr>
        <w:t xml:space="preserve">What makes AAC </w:t>
      </w:r>
      <w:proofErr w:type="spellStart"/>
      <w:r>
        <w:rPr>
          <w:rFonts w:hAnsi="Symbol"/>
        </w:rPr>
        <w:t>Westking</w:t>
      </w:r>
      <w:proofErr w:type="spellEnd"/>
      <w:r>
        <w:rPr>
          <w:rFonts w:hAnsi="Symbol"/>
        </w:rPr>
        <w:t xml:space="preserve"> an attractive option for your farm?</w:t>
      </w:r>
    </w:p>
    <w:p w14:paraId="4587CF76" w14:textId="77777777" w:rsidR="00E8009D" w:rsidRDefault="00E8009D" w:rsidP="00E8009D">
      <w:pPr>
        <w:pStyle w:val="NoSpacing"/>
        <w:rPr>
          <w:rFonts w:hAnsi="Symbo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520"/>
      </w:tblGrid>
      <w:tr w:rsidR="00E8009D" w14:paraId="75DBDF56" w14:textId="77777777" w:rsidTr="00CE10F0">
        <w:tc>
          <w:tcPr>
            <w:tcW w:w="2830" w:type="dxa"/>
          </w:tcPr>
          <w:p w14:paraId="062EA9A7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 w:rsidRPr="00C76BE7">
              <w:rPr>
                <w:b/>
                <w:bCs/>
                <w:lang w:val="en-US"/>
              </w:rPr>
              <w:t>Yield Potential:</w:t>
            </w:r>
          </w:p>
        </w:tc>
        <w:tc>
          <w:tcPr>
            <w:tcW w:w="6520" w:type="dxa"/>
          </w:tcPr>
          <w:p w14:paraId="472F1F98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>
              <w:t>High (~102-106% of AAC Brandon)</w:t>
            </w:r>
          </w:p>
        </w:tc>
      </w:tr>
      <w:tr w:rsidR="00E8009D" w14:paraId="4A3C8AFD" w14:textId="77777777" w:rsidTr="00CE10F0">
        <w:tc>
          <w:tcPr>
            <w:tcW w:w="2830" w:type="dxa"/>
          </w:tcPr>
          <w:p w14:paraId="0F13CD46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 w:rsidRPr="00C76BE7">
              <w:rPr>
                <w:b/>
                <w:bCs/>
              </w:rPr>
              <w:t>Maturity:</w:t>
            </w:r>
          </w:p>
        </w:tc>
        <w:tc>
          <w:tcPr>
            <w:tcW w:w="6520" w:type="dxa"/>
          </w:tcPr>
          <w:p w14:paraId="05B6A09E" w14:textId="77777777" w:rsidR="00E8009D" w:rsidRDefault="00E8009D" w:rsidP="00CE10F0">
            <w:pPr>
              <w:pStyle w:val="NoSpacing"/>
              <w:rPr>
                <w:rFonts w:hAnsi="Symbol"/>
              </w:rPr>
            </w:pPr>
            <w:proofErr w:type="gramStart"/>
            <w:r>
              <w:t>Similar to</w:t>
            </w:r>
            <w:proofErr w:type="gramEnd"/>
            <w:r>
              <w:t xml:space="preserve"> AAC Brandon</w:t>
            </w:r>
          </w:p>
        </w:tc>
      </w:tr>
      <w:tr w:rsidR="00E8009D" w14:paraId="03E90B5A" w14:textId="77777777" w:rsidTr="00CE10F0">
        <w:tc>
          <w:tcPr>
            <w:tcW w:w="2830" w:type="dxa"/>
          </w:tcPr>
          <w:p w14:paraId="0FACF197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 w:rsidRPr="00C76BE7">
              <w:rPr>
                <w:b/>
                <w:bCs/>
              </w:rPr>
              <w:t>Plant Height:</w:t>
            </w:r>
            <w:r>
              <w:tab/>
            </w:r>
          </w:p>
        </w:tc>
        <w:tc>
          <w:tcPr>
            <w:tcW w:w="6520" w:type="dxa"/>
          </w:tcPr>
          <w:p w14:paraId="78BCF3FC" w14:textId="77777777" w:rsidR="00E8009D" w:rsidRPr="00EE33FB" w:rsidRDefault="00E8009D" w:rsidP="00CE10F0">
            <w:pPr>
              <w:pStyle w:val="NoSpacing"/>
              <w:pBdr>
                <w:between w:val="single" w:sz="4" w:space="1" w:color="auto"/>
                <w:bar w:val="single" w:sz="4" w:color="auto"/>
              </w:pBdr>
            </w:pPr>
            <w:r>
              <w:t>Semi-dwarf, short, strong straw (2-3cm shorter than AAC Brandon)</w:t>
            </w:r>
          </w:p>
        </w:tc>
      </w:tr>
      <w:tr w:rsidR="00E8009D" w14:paraId="5F095CDD" w14:textId="77777777" w:rsidTr="00CE10F0">
        <w:tc>
          <w:tcPr>
            <w:tcW w:w="2830" w:type="dxa"/>
          </w:tcPr>
          <w:p w14:paraId="1E653877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  <w:r w:rsidRPr="00C76BE7">
              <w:rPr>
                <w:b/>
                <w:bCs/>
              </w:rPr>
              <w:t>Seed Size:</w:t>
            </w:r>
          </w:p>
        </w:tc>
        <w:tc>
          <w:tcPr>
            <w:tcW w:w="6520" w:type="dxa"/>
          </w:tcPr>
          <w:p w14:paraId="2C33EC9F" w14:textId="77777777" w:rsidR="00E8009D" w:rsidRDefault="00E8009D" w:rsidP="00CE10F0">
            <w:pPr>
              <w:pStyle w:val="NoSpacing"/>
              <w:pBdr>
                <w:between w:val="single" w:sz="4" w:space="1" w:color="auto"/>
                <w:bar w:val="single" w:sz="4" w:color="auto"/>
              </w:pBdr>
            </w:pPr>
            <w:r>
              <w:t>Large &amp; heavy kernel (2-3mg heavier than AAC Brandon)</w:t>
            </w:r>
          </w:p>
        </w:tc>
      </w:tr>
      <w:tr w:rsidR="00E8009D" w14:paraId="1D1D5924" w14:textId="77777777" w:rsidTr="00CE10F0">
        <w:tc>
          <w:tcPr>
            <w:tcW w:w="2830" w:type="dxa"/>
          </w:tcPr>
          <w:p w14:paraId="053C609B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 w:rsidRPr="00C76BE7">
              <w:rPr>
                <w:b/>
                <w:bCs/>
              </w:rPr>
              <w:t>Lodging tolerance:</w:t>
            </w:r>
          </w:p>
        </w:tc>
        <w:tc>
          <w:tcPr>
            <w:tcW w:w="6520" w:type="dxa"/>
          </w:tcPr>
          <w:p w14:paraId="7852D75F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>
              <w:t>Very Good (VG)</w:t>
            </w:r>
          </w:p>
        </w:tc>
      </w:tr>
      <w:tr w:rsidR="00E8009D" w14:paraId="4F52B1CF" w14:textId="77777777" w:rsidTr="00CE10F0">
        <w:tc>
          <w:tcPr>
            <w:tcW w:w="2830" w:type="dxa"/>
          </w:tcPr>
          <w:p w14:paraId="09F176D9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Sprouting tolerance: </w:t>
            </w:r>
          </w:p>
        </w:tc>
        <w:tc>
          <w:tcPr>
            <w:tcW w:w="6520" w:type="dxa"/>
          </w:tcPr>
          <w:p w14:paraId="0F69223A" w14:textId="77777777" w:rsidR="00E8009D" w:rsidRDefault="00E8009D" w:rsidP="00CE10F0">
            <w:pPr>
              <w:pStyle w:val="NoSpacing"/>
            </w:pPr>
            <w:r>
              <w:t>Very Good (VG)</w:t>
            </w:r>
          </w:p>
        </w:tc>
      </w:tr>
      <w:tr w:rsidR="00E8009D" w14:paraId="745F11DD" w14:textId="77777777" w:rsidTr="00CE10F0">
        <w:tc>
          <w:tcPr>
            <w:tcW w:w="2830" w:type="dxa"/>
          </w:tcPr>
          <w:p w14:paraId="327C2885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 w:rsidRPr="00C76BE7">
              <w:rPr>
                <w:b/>
                <w:bCs/>
              </w:rPr>
              <w:t>Standability:</w:t>
            </w:r>
            <w:r>
              <w:tab/>
            </w:r>
          </w:p>
        </w:tc>
        <w:tc>
          <w:tcPr>
            <w:tcW w:w="6520" w:type="dxa"/>
          </w:tcPr>
          <w:p w14:paraId="602B3362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>
              <w:t>Strong</w:t>
            </w:r>
          </w:p>
        </w:tc>
      </w:tr>
      <w:tr w:rsidR="00E8009D" w14:paraId="09A3DDCA" w14:textId="77777777" w:rsidTr="00CE10F0">
        <w:tc>
          <w:tcPr>
            <w:tcW w:w="2830" w:type="dxa"/>
          </w:tcPr>
          <w:p w14:paraId="7E3D2E43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</w:p>
        </w:tc>
        <w:tc>
          <w:tcPr>
            <w:tcW w:w="6520" w:type="dxa"/>
          </w:tcPr>
          <w:p w14:paraId="0C24BE99" w14:textId="77777777" w:rsidR="00E8009D" w:rsidRDefault="00E8009D" w:rsidP="00CE10F0">
            <w:pPr>
              <w:pStyle w:val="NoSpacing"/>
            </w:pPr>
            <w:r>
              <w:t>Good disease resistance package</w:t>
            </w:r>
          </w:p>
          <w:p w14:paraId="78B0A99A" w14:textId="77777777" w:rsidR="00E8009D" w:rsidRDefault="00E8009D" w:rsidP="00CE10F0">
            <w:pPr>
              <w:pStyle w:val="NoSpacing"/>
            </w:pPr>
            <w:r>
              <w:t>R: Leaf and Stem Rust and Bunt</w:t>
            </w:r>
          </w:p>
          <w:p w14:paraId="2C6777BA" w14:textId="77777777" w:rsidR="00E8009D" w:rsidRDefault="00E8009D" w:rsidP="00CE10F0">
            <w:pPr>
              <w:pStyle w:val="NoSpacing"/>
            </w:pPr>
            <w:r>
              <w:t>I: Strip Rust</w:t>
            </w:r>
          </w:p>
          <w:p w14:paraId="1868DAF0" w14:textId="77777777" w:rsidR="00E8009D" w:rsidRDefault="00E8009D" w:rsidP="00CE10F0">
            <w:pPr>
              <w:pStyle w:val="NoSpacing"/>
            </w:pPr>
            <w:r>
              <w:t>MR: FHB</w:t>
            </w:r>
          </w:p>
        </w:tc>
      </w:tr>
      <w:tr w:rsidR="00E8009D" w14:paraId="145C0DF7" w14:textId="77777777" w:rsidTr="00CE10F0">
        <w:tc>
          <w:tcPr>
            <w:tcW w:w="2830" w:type="dxa"/>
          </w:tcPr>
          <w:p w14:paraId="6E80557D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  <w:r w:rsidRPr="00C76BE7">
              <w:rPr>
                <w:b/>
                <w:bCs/>
              </w:rPr>
              <w:t>Protein content:</w:t>
            </w:r>
          </w:p>
        </w:tc>
        <w:tc>
          <w:tcPr>
            <w:tcW w:w="6520" w:type="dxa"/>
          </w:tcPr>
          <w:p w14:paraId="4C5C84B6" w14:textId="77777777" w:rsidR="00E8009D" w:rsidRDefault="00E8009D" w:rsidP="00CE10F0">
            <w:pPr>
              <w:pStyle w:val="NoSpacing"/>
            </w:pPr>
            <w:r>
              <w:t>0.3% lower protein than AAC Brandon</w:t>
            </w:r>
          </w:p>
        </w:tc>
      </w:tr>
      <w:tr w:rsidR="00E8009D" w14:paraId="12A6F72B" w14:textId="77777777" w:rsidTr="00CE10F0">
        <w:tc>
          <w:tcPr>
            <w:tcW w:w="2830" w:type="dxa"/>
          </w:tcPr>
          <w:p w14:paraId="2A907A06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  <w:r w:rsidRPr="00C76BE7">
              <w:rPr>
                <w:b/>
                <w:bCs/>
              </w:rPr>
              <w:t>Market flexibility:</w:t>
            </w:r>
          </w:p>
        </w:tc>
        <w:tc>
          <w:tcPr>
            <w:tcW w:w="6520" w:type="dxa"/>
          </w:tcPr>
          <w:p w14:paraId="03A601FD" w14:textId="77777777" w:rsidR="00E8009D" w:rsidRDefault="00E8009D" w:rsidP="00CE10F0">
            <w:pPr>
              <w:pStyle w:val="NoSpacing"/>
            </w:pPr>
            <w:r>
              <w:t>Milling and baking – high flour yield, and minimal protein loss during milling</w:t>
            </w:r>
          </w:p>
        </w:tc>
      </w:tr>
      <w:tr w:rsidR="00E8009D" w14:paraId="1CD4FED1" w14:textId="77777777" w:rsidTr="00CE10F0">
        <w:tc>
          <w:tcPr>
            <w:tcW w:w="2830" w:type="dxa"/>
          </w:tcPr>
          <w:p w14:paraId="2A64DF33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  <w:r w:rsidRPr="00C76BE7">
              <w:rPr>
                <w:b/>
                <w:bCs/>
              </w:rPr>
              <w:t>Profitability:</w:t>
            </w:r>
          </w:p>
        </w:tc>
        <w:tc>
          <w:tcPr>
            <w:tcW w:w="6520" w:type="dxa"/>
          </w:tcPr>
          <w:p w14:paraId="7AD3724D" w14:textId="77777777" w:rsidR="00E8009D" w:rsidRDefault="00E8009D" w:rsidP="00CE10F0">
            <w:pPr>
              <w:pStyle w:val="NoSpacing"/>
            </w:pPr>
            <w:r w:rsidRPr="005C06C3">
              <w:rPr>
                <w:rFonts w:hAnsi="Symbol"/>
                <w:i/>
                <w:iCs/>
              </w:rPr>
              <w:t>Profitability stems from the assurance of</w:t>
            </w:r>
            <w:r>
              <w:rPr>
                <w:rFonts w:hAnsi="Symbol"/>
                <w:i/>
                <w:iCs/>
              </w:rPr>
              <w:t xml:space="preserve"> consistently</w:t>
            </w:r>
            <w:r w:rsidRPr="005C06C3">
              <w:rPr>
                <w:rFonts w:hAnsi="Symbol"/>
                <w:i/>
                <w:iCs/>
              </w:rPr>
              <w:t xml:space="preserve"> high </w:t>
            </w:r>
            <w:r w:rsidRPr="005C06C3">
              <w:rPr>
                <w:rFonts w:hAnsi="Symbol" w:hint="eastAsia"/>
                <w:i/>
                <w:iCs/>
              </w:rPr>
              <w:t>yields</w:t>
            </w:r>
            <w:r>
              <w:rPr>
                <w:rFonts w:hAnsi="Symbol"/>
                <w:i/>
                <w:iCs/>
              </w:rPr>
              <w:t xml:space="preserve"> </w:t>
            </w:r>
            <w:r w:rsidRPr="005C06C3">
              <w:rPr>
                <w:rFonts w:hAnsi="Symbol" w:hint="eastAsia"/>
                <w:i/>
                <w:iCs/>
              </w:rPr>
              <w:t>across</w:t>
            </w:r>
            <w:r w:rsidRPr="005C06C3">
              <w:rPr>
                <w:rFonts w:hAnsi="Symbol"/>
                <w:i/>
                <w:iCs/>
              </w:rPr>
              <w:t xml:space="preserve"> a wide range of growing conditions</w:t>
            </w:r>
            <w:r>
              <w:rPr>
                <w:rFonts w:hAnsi="Symbol"/>
                <w:i/>
                <w:iCs/>
              </w:rPr>
              <w:t>, even when they are less than ideal. Backed</w:t>
            </w:r>
            <w:r w:rsidRPr="005C06C3">
              <w:rPr>
                <w:rFonts w:hAnsi="Symbol"/>
                <w:i/>
                <w:iCs/>
              </w:rPr>
              <w:t xml:space="preserve"> </w:t>
            </w:r>
            <w:r>
              <w:rPr>
                <w:rFonts w:hAnsi="Symbol"/>
                <w:i/>
                <w:iCs/>
              </w:rPr>
              <w:t>by strong</w:t>
            </w:r>
            <w:r w:rsidRPr="005C06C3">
              <w:rPr>
                <w:rFonts w:hAnsi="Symbol"/>
                <w:i/>
                <w:iCs/>
              </w:rPr>
              <w:t xml:space="preserve"> demand and stable pric</w:t>
            </w:r>
            <w:r>
              <w:rPr>
                <w:rFonts w:hAnsi="Symbol"/>
                <w:i/>
                <w:iCs/>
              </w:rPr>
              <w:t>ing</w:t>
            </w:r>
            <w:r w:rsidRPr="005C06C3">
              <w:rPr>
                <w:rFonts w:hAnsi="Symbol"/>
                <w:i/>
                <w:iCs/>
              </w:rPr>
              <w:t xml:space="preserve"> for CWRS</w:t>
            </w:r>
            <w:r>
              <w:rPr>
                <w:rFonts w:hAnsi="Symbol"/>
                <w:i/>
                <w:iCs/>
              </w:rPr>
              <w:t xml:space="preserve"> </w:t>
            </w:r>
            <w:r w:rsidRPr="005C06C3">
              <w:rPr>
                <w:rFonts w:hAnsi="Symbol"/>
                <w:i/>
                <w:iCs/>
              </w:rPr>
              <w:t>class of wheat</w:t>
            </w:r>
            <w:r>
              <w:rPr>
                <w:rFonts w:hAnsi="Symbol"/>
                <w:i/>
                <w:iCs/>
              </w:rPr>
              <w:t>, it</w:t>
            </w:r>
            <w:r>
              <w:rPr>
                <w:rFonts w:hAnsi="Symbol" w:hint="eastAsia"/>
                <w:i/>
                <w:iCs/>
              </w:rPr>
              <w:t>’</w:t>
            </w:r>
            <w:r>
              <w:rPr>
                <w:rFonts w:hAnsi="Symbol"/>
                <w:i/>
                <w:iCs/>
              </w:rPr>
              <w:t>s a dependable choice for reliable returns.</w:t>
            </w:r>
          </w:p>
        </w:tc>
      </w:tr>
    </w:tbl>
    <w:p w14:paraId="36C2E257" w14:textId="77777777" w:rsidR="00A259B2" w:rsidRDefault="00A259B2" w:rsidP="00A259B2">
      <w:pPr>
        <w:pStyle w:val="NoSpacing"/>
        <w:rPr>
          <w:b/>
          <w:bCs/>
          <w:sz w:val="22"/>
          <w:szCs w:val="22"/>
        </w:rPr>
      </w:pPr>
    </w:p>
    <w:p w14:paraId="10146CF0" w14:textId="2E13557A" w:rsidR="00A259B2" w:rsidRPr="001013D7" w:rsidRDefault="00A259B2" w:rsidP="00A259B2">
      <w:pPr>
        <w:pStyle w:val="NoSpacing"/>
        <w:rPr>
          <w:sz w:val="22"/>
          <w:szCs w:val="22"/>
        </w:rPr>
      </w:pPr>
      <w:r w:rsidRPr="001013D7">
        <w:rPr>
          <w:b/>
          <w:bCs/>
          <w:sz w:val="22"/>
          <w:szCs w:val="22"/>
        </w:rPr>
        <w:t>VG</w:t>
      </w:r>
      <w:r w:rsidRPr="001013D7">
        <w:rPr>
          <w:sz w:val="22"/>
          <w:szCs w:val="22"/>
        </w:rPr>
        <w:t xml:space="preserve"> = Very Good; </w:t>
      </w:r>
      <w:r w:rsidRPr="001013D7">
        <w:rPr>
          <w:b/>
          <w:bCs/>
          <w:sz w:val="22"/>
          <w:szCs w:val="22"/>
        </w:rPr>
        <w:t>G</w:t>
      </w:r>
      <w:r w:rsidRPr="001013D7">
        <w:rPr>
          <w:sz w:val="22"/>
          <w:szCs w:val="22"/>
        </w:rPr>
        <w:t xml:space="preserve"> = Good; </w:t>
      </w:r>
      <w:r w:rsidRPr="001013D7">
        <w:rPr>
          <w:b/>
          <w:bCs/>
          <w:sz w:val="22"/>
          <w:szCs w:val="22"/>
        </w:rPr>
        <w:t>F</w:t>
      </w:r>
      <w:r w:rsidRPr="001013D7">
        <w:rPr>
          <w:sz w:val="22"/>
          <w:szCs w:val="22"/>
        </w:rPr>
        <w:t xml:space="preserve"> = Fair; </w:t>
      </w:r>
      <w:r w:rsidRPr="001013D7">
        <w:rPr>
          <w:b/>
          <w:bCs/>
          <w:sz w:val="22"/>
          <w:szCs w:val="22"/>
        </w:rPr>
        <w:t>P</w:t>
      </w:r>
      <w:r w:rsidRPr="001013D7">
        <w:rPr>
          <w:sz w:val="22"/>
          <w:szCs w:val="22"/>
        </w:rPr>
        <w:t xml:space="preserve"> = Poor; </w:t>
      </w:r>
      <w:r w:rsidRPr="001013D7">
        <w:rPr>
          <w:b/>
          <w:bCs/>
          <w:sz w:val="22"/>
          <w:szCs w:val="22"/>
        </w:rPr>
        <w:t>VP</w:t>
      </w:r>
      <w:r w:rsidRPr="001013D7">
        <w:rPr>
          <w:sz w:val="22"/>
          <w:szCs w:val="22"/>
        </w:rPr>
        <w:t xml:space="preserve"> = Very Poor; Disease Ratings: </w:t>
      </w:r>
      <w:r w:rsidRPr="001013D7">
        <w:rPr>
          <w:b/>
          <w:bCs/>
          <w:sz w:val="22"/>
          <w:szCs w:val="22"/>
        </w:rPr>
        <w:t>R</w:t>
      </w:r>
      <w:r w:rsidRPr="001013D7">
        <w:rPr>
          <w:sz w:val="22"/>
          <w:szCs w:val="22"/>
        </w:rPr>
        <w:t xml:space="preserve">=Resistant; </w:t>
      </w:r>
      <w:r w:rsidRPr="001013D7">
        <w:rPr>
          <w:b/>
          <w:bCs/>
          <w:sz w:val="22"/>
          <w:szCs w:val="22"/>
        </w:rPr>
        <w:t>MR</w:t>
      </w:r>
      <w:r w:rsidRPr="001013D7">
        <w:rPr>
          <w:sz w:val="22"/>
          <w:szCs w:val="22"/>
        </w:rPr>
        <w:t xml:space="preserve">=Moderately Resistant; </w:t>
      </w:r>
      <w:r w:rsidRPr="001013D7">
        <w:rPr>
          <w:b/>
          <w:bCs/>
          <w:sz w:val="22"/>
          <w:szCs w:val="22"/>
        </w:rPr>
        <w:t>I</w:t>
      </w:r>
      <w:r w:rsidRPr="001013D7">
        <w:rPr>
          <w:sz w:val="22"/>
          <w:szCs w:val="22"/>
        </w:rPr>
        <w:t xml:space="preserve">=Intermediate; </w:t>
      </w:r>
      <w:r w:rsidRPr="001013D7">
        <w:rPr>
          <w:b/>
          <w:bCs/>
          <w:sz w:val="22"/>
          <w:szCs w:val="22"/>
        </w:rPr>
        <w:t>MS</w:t>
      </w:r>
      <w:r w:rsidRPr="001013D7">
        <w:rPr>
          <w:sz w:val="22"/>
          <w:szCs w:val="22"/>
        </w:rPr>
        <w:t>=Moderately Susceptible;</w:t>
      </w:r>
      <w:r w:rsidRPr="001013D7">
        <w:rPr>
          <w:b/>
          <w:bCs/>
          <w:sz w:val="22"/>
          <w:szCs w:val="22"/>
        </w:rPr>
        <w:t xml:space="preserve"> S</w:t>
      </w:r>
      <w:r w:rsidRPr="001013D7">
        <w:rPr>
          <w:sz w:val="22"/>
          <w:szCs w:val="22"/>
        </w:rPr>
        <w:t>=Susceptible</w:t>
      </w:r>
    </w:p>
    <w:p w14:paraId="324061BB" w14:textId="77777777" w:rsidR="00E8009D" w:rsidRDefault="00E8009D" w:rsidP="00E8009D">
      <w:pPr>
        <w:pStyle w:val="NoSpacing"/>
        <w:rPr>
          <w:rFonts w:hAnsi="Symbol"/>
        </w:rPr>
      </w:pPr>
    </w:p>
    <w:p w14:paraId="6AF2198C" w14:textId="77777777" w:rsidR="00E8009D" w:rsidRDefault="00E8009D" w:rsidP="00E8009D">
      <w:pPr>
        <w:pStyle w:val="NoSpacing"/>
        <w:rPr>
          <w:rFonts w:hAnsi="Symbol"/>
        </w:rPr>
      </w:pPr>
    </w:p>
    <w:p w14:paraId="64CB0F29" w14:textId="77777777" w:rsidR="00E8009D" w:rsidRPr="0000431D" w:rsidRDefault="00E8009D" w:rsidP="00E8009D">
      <w:pPr>
        <w:pStyle w:val="NoSpacing"/>
        <w:rPr>
          <w:b/>
          <w:bCs/>
        </w:rPr>
      </w:pPr>
      <w:r w:rsidRPr="0000431D">
        <w:rPr>
          <w:b/>
          <w:bCs/>
        </w:rPr>
        <w:t>Key Data</w:t>
      </w:r>
    </w:p>
    <w:p w14:paraId="5D11891C" w14:textId="77777777" w:rsidR="00E8009D" w:rsidRDefault="00E8009D" w:rsidP="00E8009D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520"/>
      </w:tblGrid>
      <w:tr w:rsidR="00E8009D" w14:paraId="5B551389" w14:textId="77777777" w:rsidTr="00CE10F0">
        <w:tc>
          <w:tcPr>
            <w:tcW w:w="2830" w:type="dxa"/>
          </w:tcPr>
          <w:p w14:paraId="04C5E29F" w14:textId="77777777" w:rsidR="00E8009D" w:rsidRDefault="00E8009D" w:rsidP="00CE10F0">
            <w:pPr>
              <w:pStyle w:val="NoSpacing"/>
            </w:pPr>
            <w:r>
              <w:t>Weight (lb/</w:t>
            </w:r>
            <w:proofErr w:type="spellStart"/>
            <w:r>
              <w:t>bu</w:t>
            </w:r>
            <w:proofErr w:type="spellEnd"/>
            <w:r>
              <w:t>):</w:t>
            </w:r>
          </w:p>
        </w:tc>
        <w:tc>
          <w:tcPr>
            <w:tcW w:w="6520" w:type="dxa"/>
          </w:tcPr>
          <w:p w14:paraId="3693B35F" w14:textId="77777777" w:rsidR="00E8009D" w:rsidRDefault="00E8009D" w:rsidP="00CE10F0">
            <w:pPr>
              <w:pStyle w:val="NoSpacing"/>
            </w:pPr>
            <w:r>
              <w:t>63</w:t>
            </w:r>
          </w:p>
        </w:tc>
      </w:tr>
      <w:tr w:rsidR="00E8009D" w14:paraId="56E613CB" w14:textId="77777777" w:rsidTr="00CE10F0">
        <w:tc>
          <w:tcPr>
            <w:tcW w:w="2830" w:type="dxa"/>
          </w:tcPr>
          <w:p w14:paraId="69DB484E" w14:textId="77777777" w:rsidR="00E8009D" w:rsidRDefault="00E8009D" w:rsidP="00CE10F0">
            <w:pPr>
              <w:pStyle w:val="NoSpacing"/>
            </w:pPr>
            <w:r>
              <w:t>TKW (g):</w:t>
            </w:r>
          </w:p>
        </w:tc>
        <w:tc>
          <w:tcPr>
            <w:tcW w:w="6520" w:type="dxa"/>
          </w:tcPr>
          <w:p w14:paraId="1C71DADD" w14:textId="77777777" w:rsidR="00E8009D" w:rsidRDefault="00E8009D" w:rsidP="00CE10F0">
            <w:pPr>
              <w:pStyle w:val="NoSpacing"/>
            </w:pPr>
            <w:r>
              <w:t>41</w:t>
            </w:r>
          </w:p>
        </w:tc>
      </w:tr>
      <w:tr w:rsidR="00E8009D" w14:paraId="3B1FB1CD" w14:textId="77777777" w:rsidTr="00CE10F0">
        <w:tc>
          <w:tcPr>
            <w:tcW w:w="2830" w:type="dxa"/>
          </w:tcPr>
          <w:p w14:paraId="539245D6" w14:textId="77777777" w:rsidR="00E8009D" w:rsidRDefault="00E8009D" w:rsidP="00CE10F0">
            <w:pPr>
              <w:pStyle w:val="NoSpacing"/>
            </w:pPr>
            <w:r>
              <w:t>Height (cm):</w:t>
            </w:r>
            <w:r>
              <w:tab/>
            </w:r>
          </w:p>
        </w:tc>
        <w:tc>
          <w:tcPr>
            <w:tcW w:w="6520" w:type="dxa"/>
          </w:tcPr>
          <w:p w14:paraId="2D8DFC95" w14:textId="77777777" w:rsidR="00E8009D" w:rsidRPr="002E3BAE" w:rsidRDefault="00E8009D" w:rsidP="00CE10F0">
            <w:pPr>
              <w:pStyle w:val="NoSpacing"/>
              <w:rPr>
                <w:b/>
                <w:bCs/>
              </w:rPr>
            </w:pPr>
            <w:r>
              <w:t>82</w:t>
            </w:r>
          </w:p>
        </w:tc>
      </w:tr>
      <w:tr w:rsidR="00E8009D" w14:paraId="46FF7758" w14:textId="77777777" w:rsidTr="00CE10F0">
        <w:tc>
          <w:tcPr>
            <w:tcW w:w="2830" w:type="dxa"/>
          </w:tcPr>
          <w:p w14:paraId="49F4DEDD" w14:textId="77777777" w:rsidR="00E8009D" w:rsidRDefault="00E8009D" w:rsidP="00CE10F0">
            <w:pPr>
              <w:pStyle w:val="NoSpacing"/>
            </w:pPr>
            <w:r>
              <w:t>Yield (</w:t>
            </w:r>
            <w:proofErr w:type="spellStart"/>
            <w:r>
              <w:t>bu</w:t>
            </w:r>
            <w:proofErr w:type="spellEnd"/>
            <w:r>
              <w:t>/ac):</w:t>
            </w:r>
            <w:r>
              <w:tab/>
            </w:r>
          </w:p>
        </w:tc>
        <w:tc>
          <w:tcPr>
            <w:tcW w:w="6520" w:type="dxa"/>
          </w:tcPr>
          <w:p w14:paraId="52169282" w14:textId="77777777" w:rsidR="00E8009D" w:rsidRDefault="00E8009D" w:rsidP="00CE10F0">
            <w:pPr>
              <w:pStyle w:val="NoSpacing"/>
            </w:pPr>
            <w:r>
              <w:t xml:space="preserve">59 – 99 </w:t>
            </w:r>
            <w:proofErr w:type="spellStart"/>
            <w:r>
              <w:t>bu</w:t>
            </w:r>
            <w:proofErr w:type="spellEnd"/>
            <w:r>
              <w:t>/ac</w:t>
            </w:r>
          </w:p>
        </w:tc>
      </w:tr>
      <w:tr w:rsidR="00E8009D" w14:paraId="0F07E0A2" w14:textId="77777777" w:rsidTr="00CE10F0">
        <w:tc>
          <w:tcPr>
            <w:tcW w:w="2830" w:type="dxa"/>
          </w:tcPr>
          <w:p w14:paraId="519236F2" w14:textId="77777777" w:rsidR="00E8009D" w:rsidRDefault="00E8009D" w:rsidP="00CE10F0">
            <w:pPr>
              <w:pStyle w:val="NoSpacing"/>
            </w:pPr>
            <w:r>
              <w:t>Recommended Seeding rate</w:t>
            </w:r>
          </w:p>
        </w:tc>
        <w:tc>
          <w:tcPr>
            <w:tcW w:w="6520" w:type="dxa"/>
          </w:tcPr>
          <w:p w14:paraId="7152C2CB" w14:textId="77777777" w:rsidR="00E8009D" w:rsidRDefault="00E8009D" w:rsidP="00CE10F0">
            <w:pPr>
              <w:pStyle w:val="NoSpacing"/>
            </w:pPr>
            <w:r w:rsidRPr="00440AE3">
              <w:t>Approximately 130.9 lbs/ac for optimal yields</w:t>
            </w:r>
            <w:r>
              <w:t xml:space="preserve"> (Alberta Grains)</w:t>
            </w:r>
          </w:p>
        </w:tc>
      </w:tr>
    </w:tbl>
    <w:p w14:paraId="3C415622" w14:textId="77777777" w:rsidR="00E8009D" w:rsidRDefault="00E8009D" w:rsidP="00E8009D">
      <w:pPr>
        <w:pStyle w:val="NoSpacing"/>
      </w:pPr>
    </w:p>
    <w:p w14:paraId="151BEF3C" w14:textId="77777777" w:rsidR="00C25300" w:rsidRDefault="00C25300" w:rsidP="00E8009D">
      <w:pPr>
        <w:pStyle w:val="NoSpacing"/>
      </w:pPr>
    </w:p>
    <w:sectPr w:rsidR="00C253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09D"/>
    <w:rsid w:val="005F4C70"/>
    <w:rsid w:val="00A259B2"/>
    <w:rsid w:val="00B767E9"/>
    <w:rsid w:val="00C25300"/>
    <w:rsid w:val="00E8009D"/>
    <w:rsid w:val="00F8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A2160"/>
  <w15:chartTrackingRefBased/>
  <w15:docId w15:val="{085B05B5-8BAF-4FAC-9D18-0DBC07F4A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09D"/>
  </w:style>
  <w:style w:type="paragraph" w:styleId="Heading1">
    <w:name w:val="heading 1"/>
    <w:basedOn w:val="Normal"/>
    <w:next w:val="Normal"/>
    <w:link w:val="Heading1Char"/>
    <w:uiPriority w:val="9"/>
    <w:qFormat/>
    <w:rsid w:val="00E80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0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0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0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0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0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0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0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0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0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0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00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00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00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0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009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009D"/>
    <w:pPr>
      <w:spacing w:after="0" w:line="240" w:lineRule="auto"/>
    </w:pPr>
  </w:style>
  <w:style w:type="table" w:styleId="TableGrid">
    <w:name w:val="Table Grid"/>
    <w:basedOn w:val="TableNormal"/>
    <w:uiPriority w:val="39"/>
    <w:rsid w:val="00E80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1084</Characters>
  <Application>Microsoft Office Word</Application>
  <DocSecurity>0</DocSecurity>
  <Lines>63</Lines>
  <Paragraphs>51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Visser</dc:creator>
  <cp:keywords/>
  <dc:description/>
  <cp:lastModifiedBy>Dan Visser</cp:lastModifiedBy>
  <cp:revision>3</cp:revision>
  <cp:lastPrinted>2026-03-27T16:50:00Z</cp:lastPrinted>
  <dcterms:created xsi:type="dcterms:W3CDTF">2026-03-27T16:49:00Z</dcterms:created>
  <dcterms:modified xsi:type="dcterms:W3CDTF">2026-03-27T16:52:00Z</dcterms:modified>
</cp:coreProperties>
</file>